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21" w:rsidRDefault="00597E21" w:rsidP="00597E21">
      <w:pPr>
        <w:pStyle w:val="Titre"/>
      </w:pPr>
      <w:r>
        <w:t>Maitrise des prérequis et réussite universitaire</w:t>
      </w:r>
    </w:p>
    <w:p w:rsidR="00597E21" w:rsidRPr="00597E21" w:rsidRDefault="00597E21" w:rsidP="00597E21">
      <w:r w:rsidRPr="00597E21">
        <w:t xml:space="preserve">Résumé du chapitre 11 </w:t>
      </w:r>
      <w:r w:rsidRPr="00597E21">
        <w:fldChar w:fldCharType="begin"/>
      </w:r>
      <w:r w:rsidRPr="00597E21">
        <w:instrText xml:space="preserve"> ADDIN ZOTERO_ITEM CSL_CITATION {"citationID":"a1j3qol2r47","properties":{"formattedCitation":"(Vieillevoye, Wathelet, &amp; Romainville, 2012)","plainCitation":"(Vieillevoye, Wathelet, &amp; Romainville, 2012)"},"citationItems":[{"id":1547,"uris":["http://zotero.org/groups/506499/items/RCDTGFHA"],"uri":["http://zotero.org/groups/506499/items/RCDTGFHA"],"itemData":{"id":1547,"type":"chapter","title":"Maîtrise des prérequis et réussite à l'université","container-title":"Réussite, échec et abandon dans l’enseignement supérieur","publisher":"De Boeck Supérieur","page":"221-250","URL":"http://www.sudoc.fr/158988957","ISBN":"2-8041-6868-9","author":[{"family":"Vieillevoye","given":"Sandrine"},{"family":"Wathelet","given":"Valérie"},{"family":"Romainville","given":"Marc"}],"issued":{"date-parts":[["2012"]]}}}],"schema":"https://github.com/citation-style-language/schema/raw/master/csl-citation.json"} </w:instrText>
      </w:r>
      <w:r w:rsidRPr="00597E21">
        <w:fldChar w:fldCharType="separate"/>
      </w:r>
      <w:r w:rsidRPr="00597E21">
        <w:t>(</w:t>
      </w:r>
      <w:proofErr w:type="spellStart"/>
      <w:r w:rsidRPr="00597E21">
        <w:t>Vieillevoye</w:t>
      </w:r>
      <w:proofErr w:type="spellEnd"/>
      <w:r w:rsidRPr="00597E21">
        <w:t xml:space="preserve">, </w:t>
      </w:r>
      <w:proofErr w:type="spellStart"/>
      <w:r w:rsidRPr="00597E21">
        <w:t>Wathelet</w:t>
      </w:r>
      <w:proofErr w:type="spellEnd"/>
      <w:r w:rsidRPr="00597E21">
        <w:t>, &amp; Romainville, 2012)</w:t>
      </w:r>
      <w:r w:rsidRPr="00597E21">
        <w:fldChar w:fldCharType="end"/>
      </w:r>
      <w:r w:rsidR="001F6D4B">
        <w:t xml:space="preserve"> </w:t>
      </w:r>
      <w:r w:rsidR="001F6D4B" w:rsidRPr="001F6D4B">
        <w:t>de l’ouvrage collectif de</w:t>
      </w:r>
      <w:r w:rsidR="001F6D4B">
        <w:t xml:space="preserve"> </w:t>
      </w:r>
      <w:proofErr w:type="spellStart"/>
      <w:r w:rsidR="001F6D4B">
        <w:t>Michaut</w:t>
      </w:r>
      <w:proofErr w:type="spellEnd"/>
      <w:r w:rsidR="001F6D4B">
        <w:t xml:space="preserve"> et Romainville.</w:t>
      </w:r>
    </w:p>
    <w:p w:rsidR="009206AF" w:rsidRDefault="00597E21" w:rsidP="00597E21">
      <w:pPr>
        <w:pStyle w:val="Titre1"/>
        <w:rPr>
          <w:lang w:val="fr-FR"/>
        </w:rPr>
      </w:pPr>
      <w:r>
        <w:rPr>
          <w:lang w:val="fr-FR"/>
        </w:rPr>
        <w:t>Identification</w:t>
      </w:r>
    </w:p>
    <w:p w:rsidR="00597E21" w:rsidRPr="00597E21" w:rsidRDefault="00597E21" w:rsidP="00597E21">
      <w:pPr>
        <w:pStyle w:val="Bibliographie"/>
        <w:rPr>
          <w:rFonts w:ascii="Calibri" w:hAnsi="Calibri" w:cs="Calibri"/>
        </w:rPr>
      </w:pPr>
      <w:r>
        <w:rPr>
          <w:lang w:bidi="en-US"/>
        </w:rPr>
        <w:fldChar w:fldCharType="begin"/>
      </w:r>
      <w:r>
        <w:rPr>
          <w:lang w:bidi="en-US"/>
        </w:rPr>
        <w:instrText xml:space="preserve"> ADDIN ZOTERO_BIBL {"custom":[]} CSL_BIBLIOGRAPHY </w:instrText>
      </w:r>
      <w:r>
        <w:rPr>
          <w:lang w:bidi="en-US"/>
        </w:rPr>
        <w:fldChar w:fldCharType="separate"/>
      </w:r>
      <w:proofErr w:type="spellStart"/>
      <w:r w:rsidRPr="00597E21">
        <w:rPr>
          <w:rFonts w:ascii="Calibri" w:hAnsi="Calibri" w:cs="Calibri"/>
        </w:rPr>
        <w:t>Vieillevoye</w:t>
      </w:r>
      <w:proofErr w:type="spellEnd"/>
      <w:r w:rsidRPr="00597E21">
        <w:rPr>
          <w:rFonts w:ascii="Calibri" w:hAnsi="Calibri" w:cs="Calibri"/>
        </w:rPr>
        <w:t xml:space="preserve">, S., </w:t>
      </w:r>
      <w:proofErr w:type="spellStart"/>
      <w:r w:rsidRPr="00597E21">
        <w:rPr>
          <w:rFonts w:ascii="Calibri" w:hAnsi="Calibri" w:cs="Calibri"/>
        </w:rPr>
        <w:t>Wathelet</w:t>
      </w:r>
      <w:proofErr w:type="spellEnd"/>
      <w:r w:rsidRPr="00597E21">
        <w:rPr>
          <w:rFonts w:ascii="Calibri" w:hAnsi="Calibri" w:cs="Calibri"/>
        </w:rPr>
        <w:t xml:space="preserve">, V., &amp; Romainville, M. (2012). Maîtrise des prérequis et réussite à l’université. In </w:t>
      </w:r>
      <w:r w:rsidRPr="00597E21">
        <w:rPr>
          <w:rFonts w:ascii="Calibri" w:hAnsi="Calibri" w:cs="Calibri"/>
          <w:i/>
          <w:iCs/>
        </w:rPr>
        <w:t>Réussite, échec et abandon dans l’enseignement supérieur</w:t>
      </w:r>
      <w:r w:rsidRPr="00597E21">
        <w:rPr>
          <w:rFonts w:ascii="Calibri" w:hAnsi="Calibri" w:cs="Calibri"/>
        </w:rPr>
        <w:t xml:space="preserve"> (p. 221‑250). De Boeck Supérieur. </w:t>
      </w:r>
      <w:bookmarkStart w:id="0" w:name="_GoBack"/>
      <w:bookmarkEnd w:id="0"/>
    </w:p>
    <w:p w:rsidR="00597E21" w:rsidRDefault="00597E21" w:rsidP="00597E21">
      <w:pPr>
        <w:pStyle w:val="Titre1"/>
        <w:rPr>
          <w:lang w:val="fr-FR"/>
        </w:rPr>
      </w:pPr>
      <w:r>
        <w:fldChar w:fldCharType="end"/>
      </w:r>
      <w:r>
        <w:rPr>
          <w:lang w:val="fr-FR"/>
        </w:rPr>
        <w:t>Résumé</w:t>
      </w:r>
    </w:p>
    <w:p w:rsidR="00597E21" w:rsidRPr="00597E21" w:rsidRDefault="00597E21" w:rsidP="00597E21">
      <w:pPr>
        <w:rPr>
          <w:lang w:bidi="en-US"/>
        </w:rPr>
      </w:pPr>
      <w:r>
        <w:rPr>
          <w:lang w:bidi="en-US"/>
        </w:rPr>
        <w:t>Présentation du projet « Passeports pour le Bac », porté par l’académie de Louvain (Belgique) et des résultats 2007-2008.</w:t>
      </w:r>
    </w:p>
    <w:p w:rsidR="00F26C42" w:rsidRDefault="00597E21" w:rsidP="00597E21">
      <w:pPr>
        <w:pStyle w:val="Titre2"/>
      </w:pPr>
      <w:r>
        <w:t>Le projet</w:t>
      </w:r>
    </w:p>
    <w:p w:rsidR="00597E21" w:rsidRDefault="00597E21" w:rsidP="00597E21">
      <w:pPr>
        <w:pStyle w:val="Paragraphedeliste"/>
        <w:numPr>
          <w:ilvl w:val="0"/>
          <w:numId w:val="5"/>
        </w:numPr>
      </w:pPr>
      <w:r>
        <w:t>Identifier des prérequis universitaires (mesurables, remédiables et décontextualisé</w:t>
      </w:r>
      <w:r w:rsidR="0027372E">
        <w:t>s</w:t>
      </w:r>
      <w:r>
        <w:t xml:space="preserve">) en vue </w:t>
      </w:r>
      <w:r w:rsidR="00D93435">
        <w:t>de proposer une auto-évaluation aux étudiants intégrant l’université et éventuellement un accompagnement ou une remédiation</w:t>
      </w:r>
    </w:p>
    <w:p w:rsidR="00D93435" w:rsidRDefault="00D93435" w:rsidP="00597E21">
      <w:pPr>
        <w:pStyle w:val="Paragraphedeliste"/>
        <w:numPr>
          <w:ilvl w:val="0"/>
          <w:numId w:val="5"/>
        </w:numPr>
      </w:pPr>
      <w:r>
        <w:t xml:space="preserve">Caractériser les profils d’étudiants en réussite (aux tests d’entrée, à l’année) </w:t>
      </w:r>
    </w:p>
    <w:p w:rsidR="00D93435" w:rsidRDefault="00D93435" w:rsidP="00D93435">
      <w:pPr>
        <w:pStyle w:val="Titre2"/>
      </w:pPr>
      <w:r>
        <w:t>La méthode</w:t>
      </w:r>
    </w:p>
    <w:p w:rsidR="0027372E" w:rsidRDefault="0027372E" w:rsidP="00D93435">
      <w:pPr>
        <w:pStyle w:val="Paragraphedeliste"/>
        <w:numPr>
          <w:ilvl w:val="0"/>
          <w:numId w:val="7"/>
        </w:numPr>
      </w:pPr>
      <w:r>
        <w:t>Identification des prérequis sur entretiens individuels de profs de L1 (60) + questionnaires étudiants + comparaison contenu secondaire et supérieur dans les manuels et polycopiés.</w:t>
      </w:r>
    </w:p>
    <w:p w:rsidR="0027372E" w:rsidRDefault="0027372E" w:rsidP="00D93435">
      <w:pPr>
        <w:pStyle w:val="Paragraphedeliste"/>
        <w:numPr>
          <w:ilvl w:val="0"/>
          <w:numId w:val="7"/>
        </w:numPr>
      </w:pPr>
      <w:r>
        <w:t xml:space="preserve">Sélection des prérequis </w:t>
      </w:r>
      <w:r w:rsidRPr="0027372E">
        <w:t>mesurables, remédiables et décontextual</w:t>
      </w:r>
      <w:r>
        <w:t>isés</w:t>
      </w:r>
    </w:p>
    <w:p w:rsidR="00D93435" w:rsidRDefault="00D93435" w:rsidP="00D93435">
      <w:pPr>
        <w:pStyle w:val="Paragraphedeliste"/>
        <w:numPr>
          <w:ilvl w:val="0"/>
          <w:numId w:val="7"/>
        </w:numPr>
      </w:pPr>
      <w:r>
        <w:t>Passation de questionnaires (« passeport ») pour évaluer des compétences ou des connaissances transversales et disciplinaires (mathématiques, sciences, littéraires)</w:t>
      </w:r>
    </w:p>
    <w:p w:rsidR="00D93435" w:rsidRPr="00D93435" w:rsidRDefault="00D93435" w:rsidP="00D93435">
      <w:pPr>
        <w:pStyle w:val="Paragraphedeliste"/>
        <w:numPr>
          <w:ilvl w:val="0"/>
          <w:numId w:val="7"/>
        </w:numPr>
      </w:pPr>
      <w:r>
        <w:t>Analyse statistiques des résultats aux passeports, aux cours et à l’année, avec croisement avec des variables socio-biographiques et scolaires</w:t>
      </w:r>
    </w:p>
    <w:p w:rsidR="00D93435" w:rsidRDefault="00D93435" w:rsidP="00D93435">
      <w:pPr>
        <w:pStyle w:val="Titre2"/>
      </w:pPr>
      <w:r>
        <w:t>Le corpus</w:t>
      </w:r>
    </w:p>
    <w:p w:rsidR="00D93435" w:rsidRDefault="00D93435" w:rsidP="00D93435">
      <w:pPr>
        <w:pStyle w:val="Paragraphedeliste"/>
        <w:numPr>
          <w:ilvl w:val="0"/>
          <w:numId w:val="6"/>
        </w:numPr>
      </w:pPr>
      <w:r>
        <w:t xml:space="preserve">4175 étudiants ayant passé </w:t>
      </w:r>
      <w:r w:rsidR="00027025">
        <w:t xml:space="preserve">passeport maths (22 groupes) et littéraires (15 groupes) sur la base du volontariat – une heure de test – données </w:t>
      </w:r>
      <w:proofErr w:type="spellStart"/>
      <w:r w:rsidR="00027025">
        <w:t>anonymisées</w:t>
      </w:r>
      <w:proofErr w:type="spellEnd"/>
    </w:p>
    <w:p w:rsidR="00027025" w:rsidRDefault="00027025" w:rsidP="00027025">
      <w:pPr>
        <w:pStyle w:val="Titre2"/>
      </w:pPr>
      <w:r>
        <w:t>Les résultats (sur passeports maths et  sciences)</w:t>
      </w:r>
    </w:p>
    <w:p w:rsidR="00027025" w:rsidRDefault="00027025" w:rsidP="00027025">
      <w:r>
        <w:t>Des corrélations simples entre les résultats positifs aux passeports et les résultats ans le secondaire, l’absence de redoublement, la forme de l’enseignement secondaire (général plutôt que technologique – uniquement pour le passeport maths</w:t>
      </w:r>
      <w:r w:rsidRPr="00027025">
        <w:rPr>
          <w:b/>
        </w:rPr>
        <w:t>), le nb d’heures de mathématiques, de langues anciennes, de langues modernes et de sciences suivies dans le secondaire</w:t>
      </w:r>
      <w:r w:rsidRPr="00027025">
        <w:t>,</w:t>
      </w:r>
      <w:r>
        <w:t xml:space="preserve"> le diplôme de la mère.</w:t>
      </w:r>
    </w:p>
    <w:p w:rsidR="00027025" w:rsidRDefault="00027025" w:rsidP="00027025">
      <w:r>
        <w:t>Des corrélations multiples (2 blocs socio-biographique et parcours scolaire antérieur) indiquent des corrélations essentiellement sur le parcours scolaire antérieur. Les auteurs proposent un double effet de sélection et de formation pour expliquer ces corrélations.</w:t>
      </w:r>
    </w:p>
    <w:p w:rsidR="00027025" w:rsidRDefault="00027025" w:rsidP="00027025">
      <w:pPr>
        <w:pStyle w:val="Titre2"/>
      </w:pPr>
      <w:r>
        <w:lastRenderedPageBreak/>
        <w:t xml:space="preserve">Les résultats </w:t>
      </w:r>
      <w:r w:rsidR="0027372E">
        <w:t>sur la réussite académique</w:t>
      </w:r>
    </w:p>
    <w:p w:rsidR="0027372E" w:rsidRDefault="0027372E" w:rsidP="0027372E">
      <w:r>
        <w:t xml:space="preserve">Il existe des corrélations entre réussite aux passeports et réussite académique en première année sauf en biologie. </w:t>
      </w:r>
      <w:r w:rsidRPr="0027372E">
        <w:rPr>
          <w:b/>
        </w:rPr>
        <w:t>Les auteurs invoquent la faible qualité du passeport biologie (un passeport mal ficelé ne mesure rien)</w:t>
      </w:r>
      <w:r>
        <w:rPr>
          <w:b/>
        </w:rPr>
        <w:t xml:space="preserve">. </w:t>
      </w:r>
    </w:p>
    <w:p w:rsidR="0027372E" w:rsidRDefault="0027372E" w:rsidP="0027372E">
      <w:r>
        <w:t xml:space="preserve">La réussite académique en L1 est corrélée aux </w:t>
      </w:r>
      <w:r w:rsidRPr="0027372E">
        <w:rPr>
          <w:b/>
        </w:rPr>
        <w:t>nb d’</w:t>
      </w:r>
      <w:r>
        <w:rPr>
          <w:b/>
        </w:rPr>
        <w:t xml:space="preserve">heures de mathématiques et </w:t>
      </w:r>
      <w:r w:rsidRPr="0027372E">
        <w:rPr>
          <w:b/>
        </w:rPr>
        <w:t>de langues anciennes</w:t>
      </w:r>
      <w:r>
        <w:rPr>
          <w:b/>
        </w:rPr>
        <w:t xml:space="preserve"> </w:t>
      </w:r>
      <w:r w:rsidRPr="0027372E">
        <w:t>(passeport maths seulement),</w:t>
      </w:r>
      <w:r w:rsidRPr="0027372E">
        <w:rPr>
          <w:b/>
        </w:rPr>
        <w:t xml:space="preserve"> suivies dans le secondaire</w:t>
      </w:r>
      <w:r>
        <w:rPr>
          <w:b/>
        </w:rPr>
        <w:t xml:space="preserve">. </w:t>
      </w:r>
      <w:r>
        <w:t>La réussite académique n’est pas corrélée aux</w:t>
      </w:r>
      <w:r w:rsidRPr="0027372E">
        <w:rPr>
          <w:b/>
        </w:rPr>
        <w:t xml:space="preserve"> nb d’heures de sciences</w:t>
      </w:r>
      <w:r>
        <w:rPr>
          <w:b/>
        </w:rPr>
        <w:t xml:space="preserve"> </w:t>
      </w:r>
      <w:r w:rsidRPr="0027372E">
        <w:rPr>
          <w:b/>
        </w:rPr>
        <w:t>suivies dans le secondaire.</w:t>
      </w:r>
      <w:r>
        <w:rPr>
          <w:b/>
        </w:rPr>
        <w:t xml:space="preserve"> </w:t>
      </w:r>
      <w:r>
        <w:t>Les auteurs supposent que ces corrélations indiquent des acquis importants, un sentiment d’efficacité personnelle et un rapport positif à l’école qui sont des facteurs d’affiliation et donc de réussite académique.</w:t>
      </w:r>
    </w:p>
    <w:p w:rsidR="0027372E" w:rsidRDefault="0027372E" w:rsidP="0027372E">
      <w:pPr>
        <w:pStyle w:val="Titre2"/>
      </w:pPr>
      <w:r>
        <w:t xml:space="preserve">Les </w:t>
      </w:r>
      <w:proofErr w:type="spellStart"/>
      <w:r>
        <w:t>rémédiations</w:t>
      </w:r>
      <w:proofErr w:type="spellEnd"/>
    </w:p>
    <w:p w:rsidR="0027372E" w:rsidRDefault="0027372E" w:rsidP="0027372E">
      <w:r>
        <w:t>Rien la première année puis l’équipe s’est recentrée sur les enseignants volontaires. Plusieurs actions engagées :</w:t>
      </w:r>
    </w:p>
    <w:p w:rsidR="0027372E" w:rsidRDefault="0027372E" w:rsidP="0027372E">
      <w:pPr>
        <w:pStyle w:val="Paragraphedeliste"/>
        <w:numPr>
          <w:ilvl w:val="0"/>
          <w:numId w:val="6"/>
        </w:numPr>
      </w:pPr>
      <w:r>
        <w:t>Corrections des passeports (engagement de personnels didactiques spécifiques)</w:t>
      </w:r>
    </w:p>
    <w:p w:rsidR="0027372E" w:rsidRDefault="0027372E" w:rsidP="0027372E">
      <w:pPr>
        <w:pStyle w:val="Paragraphedeliste"/>
        <w:numPr>
          <w:ilvl w:val="0"/>
          <w:numId w:val="6"/>
        </w:numPr>
      </w:pPr>
      <w:r>
        <w:t>Aide individuelle type enseignant référent</w:t>
      </w:r>
    </w:p>
    <w:p w:rsidR="0027372E" w:rsidRDefault="005805DC" w:rsidP="0027372E">
      <w:pPr>
        <w:pStyle w:val="Paragraphedeliste"/>
        <w:numPr>
          <w:ilvl w:val="0"/>
          <w:numId w:val="6"/>
        </w:numPr>
      </w:pPr>
      <w:r>
        <w:t xml:space="preserve">Plateforme de remédiation (type </w:t>
      </w:r>
      <w:proofErr w:type="spellStart"/>
      <w:r>
        <w:t>wims</w:t>
      </w:r>
      <w:proofErr w:type="spellEnd"/>
      <w:r>
        <w:t>)</w:t>
      </w:r>
    </w:p>
    <w:p w:rsidR="005805DC" w:rsidRPr="0027372E" w:rsidRDefault="005805DC" w:rsidP="005805DC">
      <w:r>
        <w:t>Pas d’analyse de l’influence des outils de remédiation.</w:t>
      </w:r>
    </w:p>
    <w:sectPr w:rsidR="005805DC" w:rsidRPr="002737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13" w:rsidRDefault="00001413" w:rsidP="00894519">
      <w:pPr>
        <w:spacing w:after="0" w:line="240" w:lineRule="auto"/>
      </w:pPr>
      <w:r>
        <w:separator/>
      </w:r>
    </w:p>
  </w:endnote>
  <w:endnote w:type="continuationSeparator" w:id="0">
    <w:p w:rsidR="00001413" w:rsidRDefault="00001413" w:rsidP="008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8A" w:rsidRDefault="001329BD">
    <w:pPr>
      <w:pStyle w:val="Pieddepage"/>
    </w:pPr>
    <w:sdt>
      <w:sdtPr>
        <w:alias w:val="Auteur "/>
        <w:tag w:val=""/>
        <w:id w:val="-518469740"/>
        <w:placeholder>
          <w:docPart w:val="372114CD2E044D048080F415365044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t>Marie-joëlle Ramage</w:t>
        </w:r>
      </w:sdtContent>
    </w:sdt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760371">
      <w:rPr>
        <w:noProof/>
      </w:rPr>
      <w:t>2</w:t>
    </w:r>
    <w:r>
      <w:fldChar w:fldCharType="end"/>
    </w:r>
    <w:r>
      <w:t xml:space="preserve"> sur </w:t>
    </w:r>
    <w:fldSimple w:instr=" NUMPAGES   \* MERGEFORMAT ">
      <w:r w:rsidR="0076037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13" w:rsidRDefault="00001413" w:rsidP="00894519">
      <w:pPr>
        <w:spacing w:after="0" w:line="240" w:lineRule="auto"/>
      </w:pPr>
      <w:r>
        <w:separator/>
      </w:r>
    </w:p>
  </w:footnote>
  <w:footnote w:type="continuationSeparator" w:id="0">
    <w:p w:rsidR="00001413" w:rsidRDefault="00001413" w:rsidP="0089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19" w:rsidRPr="00894519" w:rsidRDefault="00597E21">
    <w:pPr>
      <w:pStyle w:val="En-tte"/>
      <w:rPr>
        <w:sz w:val="24"/>
      </w:rPr>
    </w:pPr>
    <w:r>
      <w:rPr>
        <w:sz w:val="24"/>
      </w:rPr>
      <w:t>Maitrise des prérequis et réussite universitaire</w:t>
    </w:r>
    <w:r w:rsidR="00B17B8A">
      <w:rPr>
        <w:sz w:val="24"/>
      </w:rPr>
      <w:tab/>
      <w:t>fiche de lecture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A4D"/>
    <w:multiLevelType w:val="hybridMultilevel"/>
    <w:tmpl w:val="CD90B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D83"/>
    <w:multiLevelType w:val="multilevel"/>
    <w:tmpl w:val="B5503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CB0E8E"/>
    <w:multiLevelType w:val="hybridMultilevel"/>
    <w:tmpl w:val="A6267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E36CF"/>
    <w:multiLevelType w:val="hybridMultilevel"/>
    <w:tmpl w:val="A5BE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A6E8F"/>
    <w:multiLevelType w:val="multilevel"/>
    <w:tmpl w:val="F278950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400FCE"/>
    <w:multiLevelType w:val="multilevel"/>
    <w:tmpl w:val="2550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F23F22"/>
    <w:multiLevelType w:val="hybridMultilevel"/>
    <w:tmpl w:val="04DA817A"/>
    <w:lvl w:ilvl="0" w:tplc="B9C67F60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AF"/>
    <w:rsid w:val="00001413"/>
    <w:rsid w:val="00027025"/>
    <w:rsid w:val="001329BD"/>
    <w:rsid w:val="001A511C"/>
    <w:rsid w:val="001B5FEA"/>
    <w:rsid w:val="001F6D4B"/>
    <w:rsid w:val="002501E9"/>
    <w:rsid w:val="0027372E"/>
    <w:rsid w:val="00277758"/>
    <w:rsid w:val="00307458"/>
    <w:rsid w:val="00346A02"/>
    <w:rsid w:val="005805DC"/>
    <w:rsid w:val="00597E21"/>
    <w:rsid w:val="00760371"/>
    <w:rsid w:val="00894519"/>
    <w:rsid w:val="009206AF"/>
    <w:rsid w:val="00975172"/>
    <w:rsid w:val="009F3A59"/>
    <w:rsid w:val="00AA3F3B"/>
    <w:rsid w:val="00B17B8A"/>
    <w:rsid w:val="00C41361"/>
    <w:rsid w:val="00D93435"/>
    <w:rsid w:val="00DD76D8"/>
    <w:rsid w:val="00ED4888"/>
    <w:rsid w:val="00F81DDC"/>
    <w:rsid w:val="00F84012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6E150-0E05-4B2C-A2FC-1CD168B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A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97E21"/>
    <w:pPr>
      <w:numPr>
        <w:numId w:val="4"/>
      </w:numPr>
      <w:autoSpaceDE w:val="0"/>
      <w:autoSpaceDN w:val="0"/>
      <w:adjustRightInd w:val="0"/>
      <w:spacing w:after="0" w:line="240" w:lineRule="auto"/>
      <w:ind w:left="360" w:hanging="360"/>
      <w:outlineLvl w:val="0"/>
    </w:pPr>
    <w:rPr>
      <w:color w:val="1F497D"/>
      <w:sz w:val="32"/>
      <w:szCs w:val="36"/>
      <w:lang w:val="x-none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7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7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97E21"/>
    <w:rPr>
      <w:color w:val="1F497D"/>
      <w:sz w:val="32"/>
      <w:szCs w:val="36"/>
      <w:lang w:val="x-none" w:bidi="en-US"/>
    </w:rPr>
  </w:style>
  <w:style w:type="table" w:styleId="Grilledutableau">
    <w:name w:val="Table Grid"/>
    <w:basedOn w:val="TableauNormal"/>
    <w:uiPriority w:val="39"/>
    <w:rsid w:val="0092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40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40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40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0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0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519"/>
  </w:style>
  <w:style w:type="paragraph" w:styleId="Pieddepage">
    <w:name w:val="footer"/>
    <w:basedOn w:val="Normal"/>
    <w:link w:val="PieddepageCar"/>
    <w:uiPriority w:val="99"/>
    <w:unhideWhenUsed/>
    <w:rsid w:val="008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519"/>
  </w:style>
  <w:style w:type="paragraph" w:styleId="Bibliographie">
    <w:name w:val="Bibliography"/>
    <w:basedOn w:val="Normal"/>
    <w:next w:val="Normal"/>
    <w:uiPriority w:val="37"/>
    <w:unhideWhenUsed/>
    <w:rsid w:val="00597E21"/>
    <w:pPr>
      <w:spacing w:after="0" w:line="240" w:lineRule="auto"/>
      <w:ind w:left="720" w:hanging="720"/>
    </w:pPr>
  </w:style>
  <w:style w:type="paragraph" w:styleId="Titre">
    <w:name w:val="Title"/>
    <w:basedOn w:val="Normal"/>
    <w:next w:val="Normal"/>
    <w:link w:val="TitreCar"/>
    <w:uiPriority w:val="10"/>
    <w:qFormat/>
    <w:rsid w:val="00597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E21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97E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97E2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270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2702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B17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2114CD2E044D048080F41536504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5BB3A-96C4-4485-8682-9D92ACD99CE8}"/>
      </w:docPartPr>
      <w:docPartBody>
        <w:p w:rsidR="00000000" w:rsidRDefault="00963E3B">
          <w:r w:rsidRPr="0069796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3B"/>
    <w:rsid w:val="001A599B"/>
    <w:rsid w:val="009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3B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  <w:rsid w:val="00963E3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3E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9A53A965-DD8F-4B95-A24D-F36479A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Marie-joëlle Ramage</dc:creator>
  <cp:lastModifiedBy>Marie-joëlle Ramage</cp:lastModifiedBy>
  <cp:revision>9</cp:revision>
  <cp:lastPrinted>2018-07-19T12:13:00Z</cp:lastPrinted>
  <dcterms:created xsi:type="dcterms:W3CDTF">2018-07-19T11:09:00Z</dcterms:created>
  <dcterms:modified xsi:type="dcterms:W3CDTF">2018-07-19T12:13:00Z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zotero-version="5.0.35.1"&gt;&lt;session id="7q974eIX"/&gt;&lt;style id="http://www.zotero.org/styles/apa" locale="fr-FR" hasBibliography="1" bibliographyStyleHasBeenSet="1"/&gt;&lt;prefs&gt;&lt;pref name="fieldType" value="Field"/&gt;&lt;pref name="automaticJou</vt:lpwstr>
  </property>
  <property fmtid="{D5CDD505-2E9C-101B-9397-08002B2CF9AE}" pid="3" name="ZOTERO_PREF_2">
    <vt:lpwstr>rnalAbbreviations" value="false"/&gt;&lt;pref name="noteType" value="0"/&gt;&lt;/prefs&gt;&lt;/data&gt;</vt:lpwstr>
  </property>
</Properties>
</file>